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3500" w:type="pct"/>
        <w:jc w:val="center"/>
        <w:tblCellSpacing w:w="0" w:type="dxa"/>
        <w:tblCellMar>
          <w:left w:w="0" w:type="dxa"/>
          <w:right w:w="0" w:type="dxa"/>
        </w:tblCellMar>
        <w:tblLook w:val="04A0" w:firstRow="1" w:lastRow="0" w:firstColumn="1" w:lastColumn="0" w:noHBand="0" w:noVBand="1"/>
      </w:tblPr>
      <w:tblGrid>
        <w:gridCol w:w="6549"/>
      </w:tblGrid>
      <w:tr w:rsidR="00BA001A" w:rsidRPr="00BA001A" w:rsidTr="00BA00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40"/>
              <w:gridCol w:w="9"/>
            </w:tblGrid>
            <w:tr w:rsidR="00BA001A" w:rsidRPr="00BA001A">
              <w:trPr>
                <w:tblCellSpacing w:w="0" w:type="dxa"/>
              </w:trPr>
              <w:tc>
                <w:tcPr>
                  <w:tcW w:w="0" w:type="auto"/>
                  <w:vAlign w:val="center"/>
                  <w:hideMark/>
                </w:tcPr>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hyperlink r:id="rId5" w:history="1">
                    <w:r w:rsidRPr="00BA001A">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130521F3" wp14:editId="46F427B7">
                          <wp:simplePos x="0" y="0"/>
                          <wp:positionH relativeFrom="column">
                            <wp:align>left</wp:align>
                          </wp:positionH>
                          <wp:positionV relativeFrom="line">
                            <wp:posOffset>0</wp:posOffset>
                          </wp:positionV>
                          <wp:extent cx="2857500" cy="476250"/>
                          <wp:effectExtent l="0" t="0" r="0" b="0"/>
                          <wp:wrapSquare wrapText="bothSides"/>
                          <wp:docPr id="1" name="Рисунок 2" descr="http://cdnimg.rg.ru/img/rg_logo_b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rg_logo_bw.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p>
              </w:tc>
            </w:tr>
          </w:tbl>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p>
        </w:tc>
      </w:tr>
      <w:tr w:rsidR="00BA001A" w:rsidRPr="00BA001A" w:rsidTr="00BA001A">
        <w:trPr>
          <w:trHeight w:val="60"/>
          <w:tblCellSpacing w:w="0" w:type="dxa"/>
          <w:jc w:val="center"/>
        </w:trPr>
        <w:tc>
          <w:tcPr>
            <w:tcW w:w="0" w:type="auto"/>
            <w:shd w:val="clear" w:color="auto" w:fill="000000"/>
            <w:vAlign w:val="center"/>
            <w:hideMark/>
          </w:tcPr>
          <w:p w:rsidR="00BA001A" w:rsidRPr="00BA001A" w:rsidRDefault="00BA001A" w:rsidP="00BA001A">
            <w:pPr>
              <w:spacing w:after="0" w:line="60" w:lineRule="atLeast"/>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noProof/>
                <w:color w:val="000000"/>
                <w:sz w:val="24"/>
                <w:szCs w:val="24"/>
                <w:lang w:eastAsia="ru-RU"/>
              </w:rPr>
              <w:drawing>
                <wp:inline distT="0" distB="0" distL="0" distR="0" wp14:anchorId="1FA4796A" wp14:editId="03D29A7F">
                  <wp:extent cx="9525" cy="38100"/>
                  <wp:effectExtent l="0" t="0" r="0" b="0"/>
                  <wp:docPr id="2" name="Рисунок 2"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BA001A" w:rsidRPr="00BA001A" w:rsidTr="00BA001A">
        <w:trPr>
          <w:trHeight w:val="15"/>
          <w:tblCellSpacing w:w="0" w:type="dxa"/>
          <w:jc w:val="center"/>
        </w:trPr>
        <w:tc>
          <w:tcPr>
            <w:tcW w:w="0" w:type="auto"/>
            <w:vAlign w:val="center"/>
            <w:hideMark/>
          </w:tcPr>
          <w:p w:rsidR="00BA001A" w:rsidRPr="00BA001A" w:rsidRDefault="00BA001A" w:rsidP="00BA001A">
            <w:pPr>
              <w:spacing w:after="0" w:line="15" w:lineRule="atLeast"/>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noProof/>
                <w:color w:val="000000"/>
                <w:sz w:val="24"/>
                <w:szCs w:val="24"/>
                <w:lang w:eastAsia="ru-RU"/>
              </w:rPr>
              <w:drawing>
                <wp:inline distT="0" distB="0" distL="0" distR="0" wp14:anchorId="417DBC73" wp14:editId="0FB3581B">
                  <wp:extent cx="9525" cy="9525"/>
                  <wp:effectExtent l="0" t="0" r="0" b="0"/>
                  <wp:docPr id="3" name="Рисунок 3"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01A" w:rsidRPr="00BA001A" w:rsidTr="00BA001A">
        <w:trPr>
          <w:trHeight w:val="120"/>
          <w:tblCellSpacing w:w="0" w:type="dxa"/>
          <w:jc w:val="center"/>
        </w:trPr>
        <w:tc>
          <w:tcPr>
            <w:tcW w:w="0" w:type="auto"/>
            <w:shd w:val="clear" w:color="auto" w:fill="CCCCCC"/>
            <w:vAlign w:val="center"/>
            <w:hideMark/>
          </w:tcPr>
          <w:p w:rsidR="00BA001A" w:rsidRPr="00BA001A" w:rsidRDefault="00BA001A" w:rsidP="00BA001A">
            <w:pPr>
              <w:spacing w:after="0" w:line="120" w:lineRule="atLeast"/>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noProof/>
                <w:color w:val="000000"/>
                <w:sz w:val="24"/>
                <w:szCs w:val="24"/>
                <w:lang w:eastAsia="ru-RU"/>
              </w:rPr>
              <w:drawing>
                <wp:inline distT="0" distB="0" distL="0" distR="0" wp14:anchorId="6E47AC7E" wp14:editId="4EB14FD0">
                  <wp:extent cx="9525" cy="9525"/>
                  <wp:effectExtent l="0" t="0" r="0" b="0"/>
                  <wp:docPr id="4" name="Рисунок 4"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01A" w:rsidRPr="00BA001A" w:rsidTr="00BA001A">
        <w:trPr>
          <w:tblCellSpacing w:w="0" w:type="dxa"/>
          <w:jc w:val="center"/>
        </w:trPr>
        <w:tc>
          <w:tcPr>
            <w:tcW w:w="0" w:type="auto"/>
            <w:hideMark/>
          </w:tcPr>
          <w:p w:rsidR="00BA001A" w:rsidRPr="00BA001A" w:rsidRDefault="00BA001A" w:rsidP="00BA001A">
            <w:pPr>
              <w:spacing w:before="45" w:after="15"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Опубликовано 17 июля 2015 г.</w:t>
            </w:r>
          </w:p>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BA001A" w:rsidRPr="00BA001A" w:rsidRDefault="00BA001A" w:rsidP="00BA001A">
            <w:pPr>
              <w:spacing w:before="45" w:after="15"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Вступает в силу: 24 июля 2015 г.</w:t>
            </w:r>
          </w:p>
          <w:p w:rsidR="00BA001A" w:rsidRPr="00BA001A" w:rsidRDefault="00BA001A" w:rsidP="00BA001A">
            <w:pPr>
              <w:spacing w:before="100" w:beforeAutospacing="1" w:after="45" w:line="240" w:lineRule="auto"/>
              <w:jc w:val="center"/>
              <w:rPr>
                <w:rFonts w:ascii="Verdana" w:eastAsia="Times New Roman" w:hAnsi="Verdana" w:cs="Arial"/>
                <w:b/>
                <w:bCs/>
                <w:color w:val="000000"/>
                <w:sz w:val="26"/>
                <w:szCs w:val="26"/>
                <w:lang w:eastAsia="ru-RU"/>
              </w:rPr>
            </w:pPr>
            <w:r w:rsidRPr="00BA001A">
              <w:rPr>
                <w:rFonts w:ascii="Verdana" w:eastAsia="Times New Roman" w:hAnsi="Verdana" w:cs="Arial"/>
                <w:b/>
                <w:bCs/>
                <w:color w:val="000000"/>
                <w:sz w:val="26"/>
                <w:szCs w:val="26"/>
                <w:lang w:eastAsia="ru-RU"/>
              </w:rPr>
              <w:t>Федеральный закон Российской Федерации от 13 июля 2015 г. N 254-ФЗ "О внесении изменений в Воздушный кодекс Российской Федерации и отдельные законодательные акты Российской Федерации"</w:t>
            </w:r>
          </w:p>
        </w:tc>
      </w:tr>
      <w:tr w:rsidR="00BA001A" w:rsidRPr="00BA001A" w:rsidTr="00BA001A">
        <w:trPr>
          <w:tblCellSpacing w:w="0" w:type="dxa"/>
          <w:jc w:val="center"/>
        </w:trPr>
        <w:tc>
          <w:tcPr>
            <w:tcW w:w="0" w:type="auto"/>
            <w:vAlign w:val="center"/>
            <w:hideMark/>
          </w:tcPr>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b/>
                <w:bCs/>
                <w:color w:val="000000"/>
                <w:sz w:val="18"/>
                <w:szCs w:val="18"/>
                <w:lang w:eastAsia="ru-RU"/>
              </w:rPr>
              <w:t>Принят</w:t>
            </w:r>
            <w:proofErr w:type="gramEnd"/>
            <w:r w:rsidRPr="00BA001A">
              <w:rPr>
                <w:rFonts w:ascii="Arial" w:eastAsia="Times New Roman" w:hAnsi="Arial" w:cs="Arial"/>
                <w:b/>
                <w:bCs/>
                <w:color w:val="000000"/>
                <w:sz w:val="18"/>
                <w:szCs w:val="18"/>
                <w:lang w:eastAsia="ru-RU"/>
              </w:rPr>
              <w:t xml:space="preserve"> Государственной Думой 30 июня 2015 года</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b/>
                <w:bCs/>
                <w:color w:val="000000"/>
                <w:sz w:val="18"/>
                <w:szCs w:val="18"/>
                <w:lang w:eastAsia="ru-RU"/>
              </w:rPr>
              <w:t>Одобрен</w:t>
            </w:r>
            <w:proofErr w:type="gramEnd"/>
            <w:r w:rsidRPr="00BA001A">
              <w:rPr>
                <w:rFonts w:ascii="Arial" w:eastAsia="Times New Roman" w:hAnsi="Arial" w:cs="Arial"/>
                <w:b/>
                <w:bCs/>
                <w:color w:val="000000"/>
                <w:sz w:val="18"/>
                <w:szCs w:val="18"/>
                <w:lang w:eastAsia="ru-RU"/>
              </w:rPr>
              <w:t xml:space="preserve"> Советом Федерации 8 июля 2015 года</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b/>
                <w:bCs/>
                <w:color w:val="000000"/>
                <w:sz w:val="18"/>
                <w:szCs w:val="18"/>
                <w:lang w:eastAsia="ru-RU"/>
              </w:rPr>
              <w:t>Статья 1</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color w:val="000000"/>
                <w:sz w:val="18"/>
                <w:szCs w:val="18"/>
                <w:lang w:eastAsia="ru-RU"/>
              </w:rPr>
              <w:t>Внести в Воздушный кодекс Российской Федерации (Собрание законодательства Российской Федерации, 1997, N 12, ст. 1383; 2004, N 35, ст. 3607; N 45, ст. 4377; 2005, N 13, ст. 1078; 2006, N 30, ст. 3290; 2007, N 1, ст. 29; N 50, ст. 6245; 2008, N 29, ст. 3418; 2009, N 29, ст. 3616;</w:t>
            </w:r>
            <w:proofErr w:type="gramEnd"/>
            <w:r w:rsidRPr="00BA001A">
              <w:rPr>
                <w:rFonts w:ascii="Arial" w:eastAsia="Times New Roman" w:hAnsi="Arial" w:cs="Arial"/>
                <w:color w:val="000000"/>
                <w:sz w:val="18"/>
                <w:szCs w:val="18"/>
                <w:lang w:eastAsia="ru-RU"/>
              </w:rPr>
              <w:t xml:space="preserve"> </w:t>
            </w:r>
            <w:proofErr w:type="gramStart"/>
            <w:r w:rsidRPr="00BA001A">
              <w:rPr>
                <w:rFonts w:ascii="Arial" w:eastAsia="Times New Roman" w:hAnsi="Arial" w:cs="Arial"/>
                <w:color w:val="000000"/>
                <w:sz w:val="18"/>
                <w:szCs w:val="18"/>
                <w:lang w:eastAsia="ru-RU"/>
              </w:rPr>
              <w:t>2010, N 30, ст. 4014; 2011, N 7, ст. 901; N 15, ст. 2019; 2012, N 31, ст. 4318; 2013, N 23, ст. 2882; N 27, ст. 3477; 2014, N 30, ст. 4254) следующие изменения:</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1) в статье 8:</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color w:val="000000"/>
                <w:sz w:val="18"/>
                <w:szCs w:val="18"/>
                <w:lang w:eastAsia="ru-RU"/>
              </w:rPr>
              <w:t>а) в подпункте 2 пункта 1 слова "(удостоверение о годности к полетам)" исключить, слова "сертификата типа (аттестата о годности к эксплуатации) или" заменить словами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дополнить словами "от воздействия деятельности в области авиации";</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б) в пункте 3 слова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заменить словами "органами, уполномоченными Правительством Российской Федерации", второе предложение изложить в следующей редакции: "Форма и порядок выдачи данного документа устанавливаются указанными уполномоченными органами</w:t>
            </w:r>
            <w:proofErr w:type="gramStart"/>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End"/>
            <w:r w:rsidRPr="00BA001A">
              <w:rPr>
                <w:rFonts w:ascii="Arial" w:eastAsia="Times New Roman" w:hAnsi="Arial" w:cs="Arial"/>
                <w:color w:val="000000"/>
                <w:sz w:val="18"/>
                <w:szCs w:val="18"/>
                <w:lang w:eastAsia="ru-RU"/>
              </w:rPr>
              <w:t>2) статью 35 изложить в следующей редакции: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"Статья 35. </w:t>
            </w:r>
            <w:r w:rsidRPr="00BA001A">
              <w:rPr>
                <w:rFonts w:ascii="Arial" w:eastAsia="Times New Roman" w:hAnsi="Arial" w:cs="Arial"/>
                <w:b/>
                <w:bCs/>
                <w:color w:val="000000"/>
                <w:sz w:val="18"/>
                <w:szCs w:val="18"/>
                <w:lang w:eastAsia="ru-RU"/>
              </w:rPr>
              <w:t>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2. </w:t>
            </w:r>
            <w:proofErr w:type="gramStart"/>
            <w:r w:rsidRPr="00BA001A">
              <w:rPr>
                <w:rFonts w:ascii="Arial" w:eastAsia="Times New Roman" w:hAnsi="Arial" w:cs="Arial"/>
                <w:color w:val="000000"/>
                <w:sz w:val="18"/>
                <w:szCs w:val="18"/>
                <w:lang w:eastAsia="ru-RU"/>
              </w:rPr>
              <w:t xml:space="preserve">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w:t>
            </w:r>
            <w:r w:rsidRPr="00BA001A">
              <w:rPr>
                <w:rFonts w:ascii="Arial" w:eastAsia="Times New Roman" w:hAnsi="Arial" w:cs="Arial"/>
                <w:color w:val="000000"/>
                <w:sz w:val="18"/>
                <w:szCs w:val="18"/>
                <w:lang w:eastAsia="ru-RU"/>
              </w:rPr>
              <w:lastRenderedPageBreak/>
              <w:t>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w:t>
            </w:r>
            <w:proofErr w:type="gramEnd"/>
            <w:r w:rsidRPr="00BA001A">
              <w:rPr>
                <w:rFonts w:ascii="Arial" w:eastAsia="Times New Roman" w:hAnsi="Arial" w:cs="Arial"/>
                <w:color w:val="000000"/>
                <w:sz w:val="18"/>
                <w:szCs w:val="18"/>
                <w:lang w:eastAsia="ru-RU"/>
              </w:rPr>
              <w:t xml:space="preserve"> в разработке, испытаниях, серийном производстве, приемке и эксплуатации гражданских воздушных судов, авиационных двигателей, воздушных винтов</w:t>
            </w:r>
            <w:proofErr w:type="gramStart"/>
            <w:r w:rsidRPr="00BA001A">
              <w:rPr>
                <w:rFonts w:ascii="Arial" w:eastAsia="Times New Roman" w:hAnsi="Arial" w:cs="Arial"/>
                <w:color w:val="000000"/>
                <w:sz w:val="18"/>
                <w:szCs w:val="18"/>
                <w:lang w:eastAsia="ru-RU"/>
              </w:rPr>
              <w:t>.";</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3) в статье 36:</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а) пункт 1 изложить в следующей редакции: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"1. Гражданские воздушные суда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roofErr w:type="gramStart"/>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End"/>
            <w:r w:rsidRPr="00BA001A">
              <w:rPr>
                <w:rFonts w:ascii="Arial" w:eastAsia="Times New Roman" w:hAnsi="Arial" w:cs="Arial"/>
                <w:color w:val="000000"/>
                <w:sz w:val="18"/>
                <w:szCs w:val="18"/>
                <w:lang w:eastAsia="ru-RU"/>
              </w:rPr>
              <w:t>б) пункт 2 изложить в следующей редакции: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w:t>
            </w:r>
            <w:proofErr w:type="spellStart"/>
            <w:r w:rsidRPr="00BA001A">
              <w:rPr>
                <w:rFonts w:ascii="Arial" w:eastAsia="Times New Roman" w:hAnsi="Arial" w:cs="Arial"/>
                <w:color w:val="000000"/>
                <w:sz w:val="18"/>
                <w:szCs w:val="18"/>
                <w:lang w:eastAsia="ru-RU"/>
              </w:rPr>
              <w:t>bis</w:t>
            </w:r>
            <w:proofErr w:type="spellEnd"/>
            <w:r w:rsidRPr="00BA001A">
              <w:rPr>
                <w:rFonts w:ascii="Arial" w:eastAsia="Times New Roman" w:hAnsi="Arial" w:cs="Arial"/>
                <w:color w:val="000000"/>
                <w:sz w:val="18"/>
                <w:szCs w:val="18"/>
                <w:lang w:eastAsia="ru-RU"/>
              </w:rPr>
              <w:t xml:space="preserve">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roofErr w:type="gramStart"/>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End"/>
            <w:r w:rsidRPr="00BA001A">
              <w:rPr>
                <w:rFonts w:ascii="Arial" w:eastAsia="Times New Roman" w:hAnsi="Arial" w:cs="Arial"/>
                <w:color w:val="000000"/>
                <w:sz w:val="18"/>
                <w:szCs w:val="18"/>
                <w:lang w:eastAsia="ru-RU"/>
              </w:rPr>
              <w:t>4) в статье 37:</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а) в пункте 1 слова "и охране окружающей среды" заменить словами "и к охране окружающей среды";</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б) в пункте 2 слова "в установленном порядке" исключить;</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в) в пункте 3 слова "(удостоверения о годности к полетам)" исключить;</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г) пункт 4 изложить в следующей редакции: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roofErr w:type="gramStart"/>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End"/>
            <w:r w:rsidRPr="00BA001A">
              <w:rPr>
                <w:rFonts w:ascii="Arial" w:eastAsia="Times New Roman" w:hAnsi="Arial" w:cs="Arial"/>
                <w:color w:val="000000"/>
                <w:sz w:val="18"/>
                <w:szCs w:val="18"/>
                <w:lang w:eastAsia="ru-RU"/>
              </w:rPr>
              <w:t>д) дополнить пунктом 4</w:t>
            </w:r>
            <w:r w:rsidRPr="00BA001A">
              <w:rPr>
                <w:rFonts w:ascii="Arial" w:eastAsia="Times New Roman" w:hAnsi="Arial" w:cs="Arial"/>
                <w:color w:val="000000"/>
                <w:sz w:val="18"/>
                <w:szCs w:val="18"/>
                <w:vertAlign w:val="superscript"/>
                <w:lang w:eastAsia="ru-RU"/>
              </w:rPr>
              <w:t>1</w:t>
            </w:r>
            <w:r w:rsidRPr="00BA001A">
              <w:rPr>
                <w:rFonts w:ascii="Arial" w:eastAsia="Times New Roman" w:hAnsi="Arial" w:cs="Arial"/>
                <w:color w:val="000000"/>
                <w:sz w:val="18"/>
                <w:szCs w:val="18"/>
                <w:lang w:eastAsia="ru-RU"/>
              </w:rPr>
              <w:t xml:space="preserve"> следующего содержания:</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"4</w:t>
            </w:r>
            <w:r w:rsidRPr="00BA001A">
              <w:rPr>
                <w:rFonts w:ascii="Arial" w:eastAsia="Times New Roman" w:hAnsi="Arial" w:cs="Arial"/>
                <w:color w:val="000000"/>
                <w:sz w:val="18"/>
                <w:szCs w:val="18"/>
                <w:vertAlign w:val="superscript"/>
                <w:lang w:eastAsia="ru-RU"/>
              </w:rPr>
              <w:t>1</w:t>
            </w:r>
            <w:r w:rsidRPr="00BA001A">
              <w:rPr>
                <w:rFonts w:ascii="Arial" w:eastAsia="Times New Roman" w:hAnsi="Arial" w:cs="Arial"/>
                <w:color w:val="000000"/>
                <w:sz w:val="18"/>
                <w:szCs w:val="18"/>
                <w:lang w:eastAsia="ru-RU"/>
              </w:rPr>
              <w:t xml:space="preserve">. </w:t>
            </w:r>
            <w:proofErr w:type="gramStart"/>
            <w:r w:rsidRPr="00BA001A">
              <w:rPr>
                <w:rFonts w:ascii="Arial" w:eastAsia="Times New Roman" w:hAnsi="Arial" w:cs="Arial"/>
                <w:color w:val="000000"/>
                <w:sz w:val="18"/>
                <w:szCs w:val="18"/>
                <w:lang w:eastAsia="ru-RU"/>
              </w:rPr>
              <w:t>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w:t>
            </w:r>
            <w:proofErr w:type="gramEnd"/>
            <w:r w:rsidRPr="00BA001A">
              <w:rPr>
                <w:rFonts w:ascii="Arial" w:eastAsia="Times New Roman" w:hAnsi="Arial" w:cs="Arial"/>
                <w:color w:val="000000"/>
                <w:sz w:val="18"/>
                <w:szCs w:val="18"/>
                <w:lang w:eastAsia="ru-RU"/>
              </w:rPr>
              <w:t xml:space="preserve"> конструкции гражданского воздушного судна, или более поздним требованиям</w:t>
            </w:r>
            <w:proofErr w:type="gramStart"/>
            <w:r w:rsidRPr="00BA001A">
              <w:rPr>
                <w:rFonts w:ascii="Arial" w:eastAsia="Times New Roman" w:hAnsi="Arial" w:cs="Arial"/>
                <w:color w:val="000000"/>
                <w:sz w:val="18"/>
                <w:szCs w:val="18"/>
                <w:lang w:eastAsia="ru-RU"/>
              </w:rPr>
              <w:t>.";</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lastRenderedPageBreak/>
              <w:t>е) пункты 5 и 6 признать утратившими силу;</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ж) пункт 7 изложить в следующей редакции: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"7. </w:t>
            </w:r>
            <w:proofErr w:type="gramStart"/>
            <w:r w:rsidRPr="00BA001A">
              <w:rPr>
                <w:rFonts w:ascii="Arial" w:eastAsia="Times New Roman" w:hAnsi="Arial" w:cs="Arial"/>
                <w:color w:val="000000"/>
                <w:sz w:val="18"/>
                <w:szCs w:val="18"/>
                <w:lang w:eastAsia="ru-RU"/>
              </w:rPr>
              <w:t>Государственный контроль за исполнением требований, установленных пунктом 4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з) пункт 8 признать утратившим силу;</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5) дополнить статьей 37</w:t>
            </w:r>
            <w:r w:rsidRPr="00BA001A">
              <w:rPr>
                <w:rFonts w:ascii="Arial" w:eastAsia="Times New Roman" w:hAnsi="Arial" w:cs="Arial"/>
                <w:color w:val="000000"/>
                <w:sz w:val="18"/>
                <w:szCs w:val="18"/>
                <w:vertAlign w:val="superscript"/>
                <w:lang w:eastAsia="ru-RU"/>
              </w:rPr>
              <w:t>1</w:t>
            </w:r>
            <w:r w:rsidRPr="00BA001A">
              <w:rPr>
                <w:rFonts w:ascii="Arial" w:eastAsia="Times New Roman" w:hAnsi="Arial" w:cs="Arial"/>
                <w:color w:val="000000"/>
                <w:sz w:val="18"/>
                <w:szCs w:val="18"/>
                <w:lang w:eastAsia="ru-RU"/>
              </w:rPr>
              <w:t xml:space="preserve"> следующего содержания:</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"Статья 37</w:t>
            </w:r>
            <w:r w:rsidRPr="00BA001A">
              <w:rPr>
                <w:rFonts w:ascii="Arial" w:eastAsia="Times New Roman" w:hAnsi="Arial" w:cs="Arial"/>
                <w:color w:val="000000"/>
                <w:sz w:val="18"/>
                <w:szCs w:val="18"/>
                <w:vertAlign w:val="superscript"/>
                <w:lang w:eastAsia="ru-RU"/>
              </w:rPr>
              <w:t>1</w:t>
            </w:r>
            <w:r w:rsidRPr="00BA001A">
              <w:rPr>
                <w:rFonts w:ascii="Arial" w:eastAsia="Times New Roman" w:hAnsi="Arial" w:cs="Arial"/>
                <w:color w:val="000000"/>
                <w:sz w:val="18"/>
                <w:szCs w:val="18"/>
                <w:lang w:eastAsia="ru-RU"/>
              </w:rPr>
              <w:t xml:space="preserve">. </w:t>
            </w:r>
            <w:r w:rsidRPr="00BA001A">
              <w:rPr>
                <w:rFonts w:ascii="Arial" w:eastAsia="Times New Roman" w:hAnsi="Arial" w:cs="Arial"/>
                <w:b/>
                <w:bCs/>
                <w:color w:val="000000"/>
                <w:sz w:val="18"/>
                <w:szCs w:val="18"/>
                <w:lang w:eastAsia="ru-RU"/>
              </w:rPr>
              <w:t>Эксплуатация гражданского воздушного судна</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1. </w:t>
            </w:r>
            <w:proofErr w:type="gramStart"/>
            <w:r w:rsidRPr="00BA001A">
              <w:rPr>
                <w:rFonts w:ascii="Arial" w:eastAsia="Times New Roman" w:hAnsi="Arial" w:cs="Arial"/>
                <w:color w:val="000000"/>
                <w:sz w:val="18"/>
                <w:szCs w:val="18"/>
                <w:lang w:eastAsia="ru-RU"/>
              </w:rPr>
              <w:t xml:space="preserve">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w:t>
            </w:r>
            <w:proofErr w:type="spellStart"/>
            <w:r w:rsidRPr="00BA001A">
              <w:rPr>
                <w:rFonts w:ascii="Arial" w:eastAsia="Times New Roman" w:hAnsi="Arial" w:cs="Arial"/>
                <w:color w:val="000000"/>
                <w:sz w:val="18"/>
                <w:szCs w:val="18"/>
                <w:lang w:eastAsia="ru-RU"/>
              </w:rPr>
              <w:t>эксплуатанта</w:t>
            </w:r>
            <w:proofErr w:type="spellEnd"/>
            <w:r w:rsidRPr="00BA001A">
              <w:rPr>
                <w:rFonts w:ascii="Arial" w:eastAsia="Times New Roman" w:hAnsi="Arial" w:cs="Arial"/>
                <w:color w:val="000000"/>
                <w:sz w:val="18"/>
                <w:szCs w:val="18"/>
                <w:lang w:eastAsia="ru-RU"/>
              </w:rPr>
              <w:t xml:space="preserve">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2. Требования к документации, указанной в пункте 1 настоящей статьи, устанавливаются федеральными авиационными правилами.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8. При нарушении требований, указанных в пункте 1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9. </w:t>
            </w:r>
            <w:proofErr w:type="spellStart"/>
            <w:proofErr w:type="gramStart"/>
            <w:r w:rsidRPr="00BA001A">
              <w:rPr>
                <w:rFonts w:ascii="Arial" w:eastAsia="Times New Roman" w:hAnsi="Arial" w:cs="Arial"/>
                <w:color w:val="000000"/>
                <w:sz w:val="18"/>
                <w:szCs w:val="18"/>
                <w:lang w:eastAsia="ru-RU"/>
              </w:rPr>
              <w:t>Эксплуатанты</w:t>
            </w:r>
            <w:proofErr w:type="spellEnd"/>
            <w:r w:rsidRPr="00BA001A">
              <w:rPr>
                <w:rFonts w:ascii="Arial" w:eastAsia="Times New Roman" w:hAnsi="Arial" w:cs="Arial"/>
                <w:color w:val="000000"/>
                <w:sz w:val="18"/>
                <w:szCs w:val="18"/>
                <w:lang w:eastAsia="ru-RU"/>
              </w:rPr>
              <w:t xml:space="preserve"> обязаны предоставлять информацию о техническом состоянии гражданских воздушных судов, авиационных двигателей и </w:t>
            </w:r>
            <w:r w:rsidRPr="00BA001A">
              <w:rPr>
                <w:rFonts w:ascii="Arial" w:eastAsia="Times New Roman" w:hAnsi="Arial" w:cs="Arial"/>
                <w:color w:val="000000"/>
                <w:sz w:val="18"/>
                <w:szCs w:val="18"/>
                <w:lang w:eastAsia="ru-RU"/>
              </w:rPr>
              <w:lastRenderedPageBreak/>
              <w:t>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w:t>
            </w:r>
            <w:proofErr w:type="gramEnd"/>
            <w:r w:rsidRPr="00BA001A">
              <w:rPr>
                <w:rFonts w:ascii="Arial" w:eastAsia="Times New Roman" w:hAnsi="Arial" w:cs="Arial"/>
                <w:color w:val="000000"/>
                <w:sz w:val="18"/>
                <w:szCs w:val="18"/>
                <w:lang w:eastAsia="ru-RU"/>
              </w:rPr>
              <w:t xml:space="preserve"> Состав и порядок предоставления указанной информации устанавливаются федеральными авиационными правилами</w:t>
            </w:r>
            <w:proofErr w:type="gramStart"/>
            <w:r w:rsidRPr="00BA001A">
              <w:rPr>
                <w:rFonts w:ascii="Arial" w:eastAsia="Times New Roman" w:hAnsi="Arial" w:cs="Arial"/>
                <w:color w:val="000000"/>
                <w:sz w:val="18"/>
                <w:szCs w:val="18"/>
                <w:lang w:eastAsia="ru-RU"/>
              </w:rPr>
              <w:t>.";</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6) в статье 40:</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а) пункт 4 изложить в следующей редакции: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"4. </w:t>
            </w:r>
            <w:proofErr w:type="gramStart"/>
            <w:r w:rsidRPr="00BA001A">
              <w:rPr>
                <w:rFonts w:ascii="Arial" w:eastAsia="Times New Roman" w:hAnsi="Arial" w:cs="Arial"/>
                <w:color w:val="000000"/>
                <w:sz w:val="18"/>
                <w:szCs w:val="18"/>
                <w:lang w:eastAsia="ru-RU"/>
              </w:rPr>
              <w:t>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б) дополнить пунктом 8 следующего содержания:</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Перечень аэропортов федерального значения утверждается Правительством Российской Федерации</w:t>
            </w:r>
            <w:proofErr w:type="gramStart"/>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End"/>
            <w:r w:rsidRPr="00BA001A">
              <w:rPr>
                <w:rFonts w:ascii="Arial" w:eastAsia="Times New Roman" w:hAnsi="Arial" w:cs="Arial"/>
                <w:color w:val="000000"/>
                <w:sz w:val="18"/>
                <w:szCs w:val="18"/>
                <w:lang w:eastAsia="ru-RU"/>
              </w:rPr>
              <w:t>7) в статье 45 слова "должны быть согласованы с соответствующими органами исполнительной власти субъектов Российской Федерации" заменить словами "регулируются законодательством о градостроительной деятельности";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8) в пункте 1 статьи 47 слова "собственником аэродрома" заменить словами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roofErr w:type="gramStart"/>
            <w:r w:rsidRPr="00BA001A">
              <w:rPr>
                <w:rFonts w:ascii="Arial" w:eastAsia="Times New Roman" w:hAnsi="Arial" w:cs="Arial"/>
                <w:color w:val="000000"/>
                <w:sz w:val="18"/>
                <w:szCs w:val="18"/>
                <w:lang w:eastAsia="ru-RU"/>
              </w:rPr>
              <w:t>,"</w:t>
            </w:r>
            <w:proofErr w:type="gramEnd"/>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9) в абзаце четвертом подпункта 1 пункта 1 статьи 67 слова "(удостоверение о годности к полетам)" исключить;</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10) в пункте 1 статьи 69 слова "предоставляемое на всех этапах полета воздушных судов</w:t>
            </w:r>
            <w:proofErr w:type="gramStart"/>
            <w:r w:rsidRPr="00BA001A">
              <w:rPr>
                <w:rFonts w:ascii="Arial" w:eastAsia="Times New Roman" w:hAnsi="Arial" w:cs="Arial"/>
                <w:color w:val="000000"/>
                <w:sz w:val="18"/>
                <w:szCs w:val="18"/>
                <w:lang w:eastAsia="ru-RU"/>
              </w:rPr>
              <w:t>,"</w:t>
            </w:r>
            <w:proofErr w:type="gramEnd"/>
            <w:r w:rsidRPr="00BA001A">
              <w:rPr>
                <w:rFonts w:ascii="Arial" w:eastAsia="Times New Roman" w:hAnsi="Arial" w:cs="Arial"/>
                <w:color w:val="000000"/>
                <w:sz w:val="18"/>
                <w:szCs w:val="18"/>
                <w:lang w:eastAsia="ru-RU"/>
              </w:rPr>
              <w:t xml:space="preserve"> исключить;</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11) в статье 90 слова "силами собственника аэродрома или аэропорта" заменить словами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b/>
                <w:bCs/>
                <w:color w:val="000000"/>
                <w:sz w:val="18"/>
                <w:szCs w:val="18"/>
                <w:lang w:eastAsia="ru-RU"/>
              </w:rPr>
              <w:t>Статья 2</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Внести в Федеральный закон от 8 января 1998 года N 10-ФЗ "О государственном регулировании развития авиации" (Собрание законодательства Российской Федерации, 1998, N 2, ст. 226; 2007, N 43, ст. 5084) следующие изменения:</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1) в статье 4:</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а) дополнить новым абзацем пятым следующего содержания:</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 xml:space="preserve">"утверждает классификацию работ по содержанию и ремонту аэродромов гражданской авиации, находящихся в федеральной собственности, нормативы финансовых затрат на их содержание и ремонт, а также правила </w:t>
            </w:r>
            <w:r w:rsidRPr="00BA001A">
              <w:rPr>
                <w:rFonts w:ascii="Arial" w:eastAsia="Times New Roman" w:hAnsi="Arial" w:cs="Arial"/>
                <w:color w:val="000000"/>
                <w:sz w:val="18"/>
                <w:szCs w:val="18"/>
                <w:lang w:eastAsia="ru-RU"/>
              </w:rPr>
              <w:lastRenderedPageBreak/>
              <w:t>расчета размера бюджетных ассигнований на указанные цели</w:t>
            </w:r>
            <w:proofErr w:type="gramStart"/>
            <w:r w:rsidRPr="00BA001A">
              <w:rPr>
                <w:rFonts w:ascii="Arial" w:eastAsia="Times New Roman" w:hAnsi="Arial" w:cs="Arial"/>
                <w:color w:val="000000"/>
                <w:sz w:val="18"/>
                <w:szCs w:val="18"/>
                <w:lang w:eastAsia="ru-RU"/>
              </w:rPr>
              <w:t>;"</w:t>
            </w:r>
            <w:proofErr w:type="gramEnd"/>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б) абзац пятый считать абзацем шестым;</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2) в статье 13</w:t>
            </w:r>
            <w:r w:rsidRPr="00BA001A">
              <w:rPr>
                <w:rFonts w:ascii="Arial" w:eastAsia="Times New Roman" w:hAnsi="Arial" w:cs="Arial"/>
                <w:color w:val="000000"/>
                <w:sz w:val="18"/>
                <w:szCs w:val="18"/>
                <w:vertAlign w:val="superscript"/>
                <w:lang w:eastAsia="ru-RU"/>
              </w:rPr>
              <w:t>1</w:t>
            </w:r>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color w:val="000000"/>
                <w:sz w:val="18"/>
                <w:szCs w:val="18"/>
                <w:lang w:eastAsia="ru-RU"/>
              </w:rPr>
              <w:t>a) в части 3 слова "(за исключением аэропортов и аэродромов гражданской авиации, включенных в утвержденный Правительством Российской Федерации перечень аэропортов и аэродромов федерального значения, необходимых для осуществления полномочий Российской Федерации)" заменить словами "(за исключением аэродромов совместного базирования)";</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color w:val="000000"/>
                <w:sz w:val="18"/>
                <w:szCs w:val="18"/>
                <w:lang w:eastAsia="ru-RU"/>
              </w:rPr>
              <w:t>б) в части 11 слова "Аэропорты, включенные в утвержденный Правительством Российской Федерации перечень аэропортов и аэродромов федерального значения, необходимых для осуществления полномочий Российской Федерации" заменить словами "Аэропорты, находящиеся в собственности Российской Федерации".</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b/>
                <w:bCs/>
                <w:color w:val="000000"/>
                <w:sz w:val="18"/>
                <w:szCs w:val="18"/>
                <w:lang w:eastAsia="ru-RU"/>
              </w:rPr>
              <w:t>Статья 3</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color w:val="000000"/>
                <w:sz w:val="18"/>
                <w:szCs w:val="18"/>
                <w:lang w:eastAsia="ru-RU"/>
              </w:rPr>
              <w:t>Подпункт "я" пункта 2 статьи 26</w:t>
            </w:r>
            <w:r w:rsidRPr="00BA001A">
              <w:rPr>
                <w:rFonts w:ascii="Arial" w:eastAsia="Times New Roman" w:hAnsi="Arial" w:cs="Arial"/>
                <w:color w:val="000000"/>
                <w:sz w:val="18"/>
                <w:szCs w:val="18"/>
                <w:vertAlign w:val="superscript"/>
                <w:lang w:eastAsia="ru-RU"/>
              </w:rPr>
              <w:t>11</w:t>
            </w:r>
            <w:r w:rsidRPr="00BA001A">
              <w:rPr>
                <w:rFonts w:ascii="Arial" w:eastAsia="Times New Roman" w:hAnsi="Arial" w:cs="Arial"/>
                <w:color w:val="000000"/>
                <w:sz w:val="18"/>
                <w:szCs w:val="18"/>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w:t>
            </w:r>
            <w:proofErr w:type="gramEnd"/>
            <w:r w:rsidRPr="00BA001A">
              <w:rPr>
                <w:rFonts w:ascii="Arial" w:eastAsia="Times New Roman" w:hAnsi="Arial" w:cs="Arial"/>
                <w:color w:val="000000"/>
                <w:sz w:val="18"/>
                <w:szCs w:val="18"/>
                <w:lang w:eastAsia="ru-RU"/>
              </w:rPr>
              <w:t xml:space="preserve"> </w:t>
            </w:r>
            <w:proofErr w:type="gramStart"/>
            <w:r w:rsidRPr="00BA001A">
              <w:rPr>
                <w:rFonts w:ascii="Arial" w:eastAsia="Times New Roman" w:hAnsi="Arial" w:cs="Arial"/>
                <w:color w:val="000000"/>
                <w:sz w:val="18"/>
                <w:szCs w:val="18"/>
                <w:lang w:eastAsia="ru-RU"/>
              </w:rPr>
              <w:t>N 23, ст. 2380; 2007, N 1, ст. 21; N 30, ст. 3747; N 43, ст. 5084; N 46, ст. 5553; 2008, N 48, ст. 5516; N 52, ст. 6236; 2009, N 51, ст. 6163; 2010, N 15, ст. 1736; N 19, ст. 2291; N 49, ст. 6409; 2011, N 30, ст. 4590;</w:t>
            </w:r>
            <w:proofErr w:type="gramEnd"/>
            <w:r w:rsidRPr="00BA001A">
              <w:rPr>
                <w:rFonts w:ascii="Arial" w:eastAsia="Times New Roman" w:hAnsi="Arial" w:cs="Arial"/>
                <w:color w:val="000000"/>
                <w:sz w:val="18"/>
                <w:szCs w:val="18"/>
                <w:lang w:eastAsia="ru-RU"/>
              </w:rPr>
              <w:t xml:space="preserve"> </w:t>
            </w:r>
            <w:proofErr w:type="gramStart"/>
            <w:r w:rsidRPr="00BA001A">
              <w:rPr>
                <w:rFonts w:ascii="Arial" w:eastAsia="Times New Roman" w:hAnsi="Arial" w:cs="Arial"/>
                <w:color w:val="000000"/>
                <w:sz w:val="18"/>
                <w:szCs w:val="18"/>
                <w:lang w:eastAsia="ru-RU"/>
              </w:rPr>
              <w:t>N 49, ст. 7039; 2013, N 48, ст. 6165; 2014, N 45, ст. 6138; 2015, N 1, ст. 11; N 14, ст. 2017) изложить в следующей редакции:</w:t>
            </w:r>
            <w:proofErr w:type="gramEnd"/>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roofErr w:type="gramStart"/>
            <w:r w:rsidRPr="00BA001A">
              <w:rPr>
                <w:rFonts w:ascii="Arial" w:eastAsia="Times New Roman" w:hAnsi="Arial" w:cs="Arial"/>
                <w:color w:val="000000"/>
                <w:sz w:val="18"/>
                <w:szCs w:val="18"/>
                <w:lang w:eastAsia="ru-RU"/>
              </w:rPr>
              <w:t>;"</w:t>
            </w:r>
            <w:proofErr w:type="gramEnd"/>
            <w:r w:rsidRPr="00BA001A">
              <w:rPr>
                <w:rFonts w:ascii="Arial" w:eastAsia="Times New Roman" w:hAnsi="Arial" w:cs="Arial"/>
                <w:color w:val="000000"/>
                <w:sz w:val="18"/>
                <w:szCs w:val="18"/>
                <w:lang w:eastAsia="ru-RU"/>
              </w:rPr>
              <w:t>.</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b/>
                <w:bCs/>
                <w:color w:val="000000"/>
                <w:sz w:val="18"/>
                <w:szCs w:val="18"/>
                <w:lang w:eastAsia="ru-RU"/>
              </w:rPr>
              <w:t>Статья 4</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Признать утратившими силу:</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A001A">
              <w:rPr>
                <w:rFonts w:ascii="Arial" w:eastAsia="Times New Roman" w:hAnsi="Arial" w:cs="Arial"/>
                <w:color w:val="000000"/>
                <w:sz w:val="18"/>
                <w:szCs w:val="18"/>
                <w:lang w:eastAsia="ru-RU"/>
              </w:rPr>
              <w:t>1) пункт 3 (в части замены слов в пунктах 6 и 8 статьи 37 Воздушного кодекса Российской Федерации) статьи 86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w:t>
            </w:r>
            <w:proofErr w:type="gramEnd"/>
            <w:r w:rsidRPr="00BA001A">
              <w:rPr>
                <w:rFonts w:ascii="Arial" w:eastAsia="Times New Roman" w:hAnsi="Arial" w:cs="Arial"/>
                <w:color w:val="000000"/>
                <w:sz w:val="18"/>
                <w:szCs w:val="18"/>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color w:val="000000"/>
                <w:sz w:val="18"/>
                <w:szCs w:val="18"/>
                <w:lang w:eastAsia="ru-RU"/>
              </w:rPr>
              <w:t>2) пункт 10 Федерального закона от 18 июля 2006 года N 114-ФЗ "О внесении изменений в Воздушный кодекс Российской Федерации" (Собрание законодательства Российской Федерации, 2006, N 30, ст. 3290).</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b/>
                <w:bCs/>
                <w:color w:val="000000"/>
                <w:sz w:val="18"/>
                <w:szCs w:val="18"/>
                <w:lang w:eastAsia="ru-RU"/>
              </w:rPr>
              <w:t>Президент Российской Федерации</w:t>
            </w:r>
          </w:p>
          <w:p w:rsidR="00BA001A" w:rsidRPr="00BA001A" w:rsidRDefault="00BA001A" w:rsidP="00BA001A">
            <w:pPr>
              <w:spacing w:before="100" w:beforeAutospacing="1" w:after="100" w:afterAutospacing="1" w:line="240" w:lineRule="auto"/>
              <w:rPr>
                <w:rFonts w:ascii="Arial" w:eastAsia="Times New Roman" w:hAnsi="Arial" w:cs="Arial"/>
                <w:color w:val="000000"/>
                <w:sz w:val="18"/>
                <w:szCs w:val="18"/>
                <w:lang w:eastAsia="ru-RU"/>
              </w:rPr>
            </w:pPr>
            <w:r w:rsidRPr="00BA001A">
              <w:rPr>
                <w:rFonts w:ascii="Arial" w:eastAsia="Times New Roman" w:hAnsi="Arial" w:cs="Arial"/>
                <w:b/>
                <w:bCs/>
                <w:color w:val="000000"/>
                <w:sz w:val="18"/>
                <w:szCs w:val="18"/>
                <w:lang w:eastAsia="ru-RU"/>
              </w:rPr>
              <w:t>В. Путин</w:t>
            </w:r>
          </w:p>
        </w:tc>
      </w:tr>
      <w:tr w:rsidR="00BA001A" w:rsidRPr="00BA001A" w:rsidTr="00BA001A">
        <w:trPr>
          <w:tblCellSpacing w:w="0" w:type="dxa"/>
          <w:jc w:val="center"/>
        </w:trPr>
        <w:tc>
          <w:tcPr>
            <w:tcW w:w="0" w:type="auto"/>
            <w:vAlign w:val="center"/>
            <w:hideMark/>
          </w:tcPr>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color w:val="000000"/>
                <w:sz w:val="24"/>
                <w:szCs w:val="24"/>
                <w:lang w:eastAsia="ru-RU"/>
              </w:rPr>
              <w:br/>
            </w:r>
            <w:r w:rsidRPr="00BA001A">
              <w:rPr>
                <w:rFonts w:ascii="Times New Roman" w:eastAsia="Times New Roman" w:hAnsi="Times New Roman" w:cs="Times New Roman"/>
                <w:color w:val="000000"/>
                <w:sz w:val="24"/>
                <w:szCs w:val="24"/>
                <w:lang w:eastAsia="ru-RU"/>
              </w:rPr>
              <w:br/>
            </w:r>
          </w:p>
        </w:tc>
      </w:tr>
      <w:tr w:rsidR="00BA001A" w:rsidRPr="00BA001A" w:rsidTr="00BA001A">
        <w:trPr>
          <w:trHeight w:val="75"/>
          <w:tblCellSpacing w:w="0" w:type="dxa"/>
          <w:jc w:val="center"/>
        </w:trPr>
        <w:tc>
          <w:tcPr>
            <w:tcW w:w="0" w:type="auto"/>
            <w:shd w:val="clear" w:color="auto" w:fill="000000"/>
            <w:vAlign w:val="center"/>
            <w:hideMark/>
          </w:tcPr>
          <w:p w:rsidR="00BA001A" w:rsidRPr="00BA001A" w:rsidRDefault="00BA001A" w:rsidP="00BA001A">
            <w:pPr>
              <w:spacing w:after="0" w:line="75" w:lineRule="atLeast"/>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noProof/>
                <w:color w:val="000000"/>
                <w:sz w:val="24"/>
                <w:szCs w:val="24"/>
                <w:lang w:eastAsia="ru-RU"/>
              </w:rPr>
              <w:drawing>
                <wp:inline distT="0" distB="0" distL="0" distR="0" wp14:anchorId="034FC9F0" wp14:editId="2702BAD4">
                  <wp:extent cx="9525" cy="9525"/>
                  <wp:effectExtent l="0" t="0" r="0" b="0"/>
                  <wp:docPr id="5" name="Рисунок 5"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01A" w:rsidRPr="00BA001A" w:rsidTr="00BA001A">
        <w:trPr>
          <w:trHeight w:val="15"/>
          <w:tblCellSpacing w:w="0" w:type="dxa"/>
          <w:jc w:val="center"/>
        </w:trPr>
        <w:tc>
          <w:tcPr>
            <w:tcW w:w="0" w:type="auto"/>
            <w:vAlign w:val="center"/>
            <w:hideMark/>
          </w:tcPr>
          <w:p w:rsidR="00BA001A" w:rsidRPr="00BA001A" w:rsidRDefault="00BA001A" w:rsidP="00BA001A">
            <w:pPr>
              <w:spacing w:after="0" w:line="15" w:lineRule="atLeast"/>
              <w:rPr>
                <w:rFonts w:ascii="Times New Roman" w:eastAsia="Times New Roman" w:hAnsi="Times New Roman" w:cs="Times New Roman"/>
                <w:color w:val="000000"/>
                <w:sz w:val="24"/>
                <w:szCs w:val="24"/>
                <w:lang w:eastAsia="ru-RU"/>
              </w:rPr>
            </w:pPr>
            <w:r w:rsidRPr="00BA001A">
              <w:rPr>
                <w:rFonts w:ascii="Times New Roman" w:eastAsia="Times New Roman" w:hAnsi="Times New Roman" w:cs="Times New Roman"/>
                <w:noProof/>
                <w:color w:val="000000"/>
                <w:sz w:val="24"/>
                <w:szCs w:val="24"/>
                <w:lang w:eastAsia="ru-RU"/>
              </w:rPr>
              <w:drawing>
                <wp:inline distT="0" distB="0" distL="0" distR="0" wp14:anchorId="2EC62B2A" wp14:editId="0372B411">
                  <wp:extent cx="9525" cy="9525"/>
                  <wp:effectExtent l="0" t="0" r="0" b="0"/>
                  <wp:docPr id="6" name="Рисунок 6"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01A" w:rsidRPr="00BA001A" w:rsidTr="00BA001A">
        <w:trPr>
          <w:tblCellSpacing w:w="0" w:type="dxa"/>
          <w:jc w:val="center"/>
        </w:trPr>
        <w:tc>
          <w:tcPr>
            <w:tcW w:w="0" w:type="auto"/>
            <w:shd w:val="clear" w:color="auto" w:fill="CCCCCC"/>
            <w:vAlign w:val="center"/>
            <w:hideMark/>
          </w:tcPr>
          <w:p w:rsidR="00BA001A" w:rsidRPr="00BA001A" w:rsidRDefault="00BA001A" w:rsidP="00BA001A">
            <w:pPr>
              <w:spacing w:after="0" w:line="240" w:lineRule="auto"/>
              <w:rPr>
                <w:rFonts w:ascii="Times New Roman" w:eastAsia="Times New Roman" w:hAnsi="Times New Roman" w:cs="Times New Roman"/>
                <w:color w:val="000000"/>
                <w:sz w:val="24"/>
                <w:szCs w:val="24"/>
                <w:lang w:eastAsia="ru-RU"/>
              </w:rPr>
            </w:pPr>
          </w:p>
        </w:tc>
      </w:tr>
    </w:tbl>
    <w:p w:rsidR="001173D1" w:rsidRPr="00BA001A" w:rsidRDefault="001173D1" w:rsidP="00BA001A">
      <w:pPr>
        <w:rPr>
          <w:lang w:val="en-US"/>
        </w:rPr>
      </w:pPr>
      <w:bookmarkStart w:id="0" w:name="_GoBack"/>
      <w:bookmarkEnd w:id="0"/>
    </w:p>
    <w:sectPr w:rsidR="001173D1" w:rsidRPr="00BA0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9D"/>
    <w:rsid w:val="001173D1"/>
    <w:rsid w:val="00AB799D"/>
    <w:rsid w:val="00BA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2075</Words>
  <Characters>11829</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dc:creator>
  <cp:keywords/>
  <dc:description/>
  <cp:lastModifiedBy>Лебедев</cp:lastModifiedBy>
  <cp:revision>3</cp:revision>
  <dcterms:created xsi:type="dcterms:W3CDTF">2015-08-24T13:11:00Z</dcterms:created>
  <dcterms:modified xsi:type="dcterms:W3CDTF">2015-08-24T13:13:00Z</dcterms:modified>
</cp:coreProperties>
</file>